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上海政法学院拟新增硕士学位授权点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申报意向与现有情况统计表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4"/>
        <w:gridCol w:w="4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所在学院名称</w:t>
            </w: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  <w:t>拟新增硕士学位授权点名称</w:t>
            </w: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  <w:t>拟新增硕士学位授权点代码</w:t>
            </w: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  <w:t>拟新增硕士学位授权点现有情况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需对照附件2，逐项列出。例如：1.专业特色，已达标或未达标。再写明已达标或未达标的具体情况。2.人员规模，已达标或未达标。再写明已达标或未达标的具体情况。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依次加行填写。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  <w:vertAlign w:val="baseline"/>
              </w:rPr>
            </w:pP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  <w:vertAlign w:val="baseline"/>
              </w:rPr>
            </w:pP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3.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418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  <w:vertAlign w:val="baseline"/>
              </w:rPr>
            </w:pPr>
          </w:p>
        </w:tc>
        <w:tc>
          <w:tcPr>
            <w:tcW w:w="43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......（对照附件2，依次加行填写）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5327F"/>
    <w:rsid w:val="7CD5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